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1C" w:rsidRDefault="007B178B" w:rsidP="007910DB">
      <w:pPr>
        <w:tabs>
          <w:tab w:val="left" w:pos="3955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430328">
        <w:rPr>
          <w:rFonts w:ascii="Times New Roman" w:hAnsi="Times New Roman"/>
          <w:b/>
          <w:sz w:val="24"/>
          <w:szCs w:val="24"/>
        </w:rPr>
        <w:t>I</w:t>
      </w:r>
      <w:r w:rsidR="00C30B1C" w:rsidRPr="00430328">
        <w:rPr>
          <w:rFonts w:ascii="Times New Roman" w:hAnsi="Times New Roman"/>
          <w:b/>
          <w:sz w:val="24"/>
          <w:szCs w:val="24"/>
        </w:rPr>
        <w:t>N</w:t>
      </w:r>
      <w:r w:rsidRPr="00430328">
        <w:rPr>
          <w:rFonts w:ascii="Times New Roman" w:hAnsi="Times New Roman"/>
          <w:b/>
          <w:sz w:val="24"/>
          <w:szCs w:val="24"/>
        </w:rPr>
        <w:t xml:space="preserve">FORMACIJA </w:t>
      </w:r>
      <w:r w:rsidR="00C30B1C" w:rsidRPr="00430328">
        <w:rPr>
          <w:rFonts w:ascii="Times New Roman" w:hAnsi="Times New Roman"/>
          <w:b/>
          <w:sz w:val="24"/>
          <w:szCs w:val="24"/>
        </w:rPr>
        <w:t xml:space="preserve">O KOMUNIKACIJI </w:t>
      </w:r>
      <w:r w:rsidR="00430328" w:rsidRPr="00430328">
        <w:rPr>
          <w:rFonts w:ascii="Times New Roman" w:hAnsi="Times New Roman"/>
          <w:b/>
          <w:sz w:val="24"/>
          <w:szCs w:val="24"/>
        </w:rPr>
        <w:t xml:space="preserve">KOMISIJE EUROPSKOM PARLAMENTU I VIJEĆU: </w:t>
      </w:r>
      <w:r w:rsidR="00430328" w:rsidRPr="007910DB">
        <w:rPr>
          <w:rFonts w:ascii="Times New Roman" w:hAnsi="Times New Roman"/>
          <w:b/>
          <w:i/>
          <w:sz w:val="24"/>
          <w:szCs w:val="24"/>
        </w:rPr>
        <w:t>„STRATEGIJA PREMA POTPUNO FUNKCIONALNOM I OTPORNOM SCHENGENSKOM PODRUČJU“</w:t>
      </w:r>
    </w:p>
    <w:p w:rsidR="007910DB" w:rsidRPr="007910DB" w:rsidRDefault="007910DB" w:rsidP="007910DB">
      <w:pPr>
        <w:tabs>
          <w:tab w:val="left" w:pos="3955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30328" w:rsidRDefault="00430328" w:rsidP="00430328">
      <w:pPr>
        <w:pStyle w:val="Tijelo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Dana 2. lipnja 2021. godine objavljena je Komunikacija </w:t>
      </w:r>
      <w:r w:rsidR="001114CC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omisije Europskom parlamentu i Vijeću </w:t>
      </w:r>
      <w:r>
        <w:rPr>
          <w:rFonts w:ascii="Times New Roman" w:hAnsi="Times New Roman"/>
          <w:i/>
          <w:iCs/>
          <w:sz w:val="24"/>
          <w:szCs w:val="24"/>
        </w:rPr>
        <w:t>„Strategija prema po</w:t>
      </w:r>
      <w:r w:rsidR="00D74F9C">
        <w:rPr>
          <w:rFonts w:ascii="Times New Roman" w:hAnsi="Times New Roman"/>
          <w:i/>
          <w:iCs/>
          <w:sz w:val="24"/>
          <w:szCs w:val="24"/>
        </w:rPr>
        <w:t xml:space="preserve">tpuno funkcionalnom i otpornom </w:t>
      </w:r>
      <w:proofErr w:type="spellStart"/>
      <w:r w:rsidR="00D74F9C"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chengensk</w:t>
      </w:r>
      <w:r w:rsidR="00A55593">
        <w:rPr>
          <w:rFonts w:ascii="Times New Roman" w:hAnsi="Times New Roman"/>
          <w:i/>
          <w:iCs/>
          <w:sz w:val="24"/>
          <w:szCs w:val="24"/>
        </w:rPr>
        <w:t>om</w:t>
      </w:r>
      <w:proofErr w:type="spellEnd"/>
      <w:r w:rsidR="00A55593">
        <w:rPr>
          <w:rFonts w:ascii="Times New Roman" w:hAnsi="Times New Roman"/>
          <w:i/>
          <w:iCs/>
          <w:sz w:val="24"/>
          <w:szCs w:val="24"/>
        </w:rPr>
        <w:t xml:space="preserve"> području“ </w:t>
      </w:r>
      <w:r w:rsidR="00A55593">
        <w:rPr>
          <w:rFonts w:ascii="Times New Roman" w:hAnsi="Times New Roman"/>
          <w:iCs/>
          <w:sz w:val="24"/>
          <w:szCs w:val="24"/>
        </w:rPr>
        <w:t>(u daljnjem tekstu:</w:t>
      </w:r>
      <w:r w:rsidR="001114C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114CC" w:rsidRPr="00A55593">
        <w:rPr>
          <w:rFonts w:ascii="Times New Roman" w:hAnsi="Times New Roman"/>
          <w:iCs/>
          <w:sz w:val="24"/>
          <w:szCs w:val="24"/>
        </w:rPr>
        <w:t>Prijedlog s</w:t>
      </w:r>
      <w:r w:rsidRPr="00A55593">
        <w:rPr>
          <w:rFonts w:ascii="Times New Roman" w:hAnsi="Times New Roman"/>
          <w:iCs/>
          <w:sz w:val="24"/>
          <w:szCs w:val="24"/>
        </w:rPr>
        <w:t>trategije</w:t>
      </w:r>
      <w:r w:rsidR="00A55593">
        <w:rPr>
          <w:rFonts w:ascii="Times New Roman" w:hAnsi="Times New Roman"/>
          <w:iCs/>
          <w:sz w:val="24"/>
          <w:szCs w:val="24"/>
        </w:rPr>
        <w:t>)</w:t>
      </w:r>
      <w:r w:rsidR="001114CC">
        <w:rPr>
          <w:rFonts w:ascii="Times New Roman" w:hAnsi="Times New Roman"/>
          <w:sz w:val="24"/>
          <w:szCs w:val="24"/>
        </w:rPr>
        <w:t>. Uz Prijedlog s</w:t>
      </w:r>
      <w:r>
        <w:rPr>
          <w:rFonts w:ascii="Times New Roman" w:hAnsi="Times New Roman"/>
          <w:sz w:val="24"/>
          <w:szCs w:val="24"/>
        </w:rPr>
        <w:t xml:space="preserve">trategije, objavljen je i Prijedlog uredbe o uspostavi i korištenju evaluacijskog i nadzornog mehanizma za provjeru primjene </w:t>
      </w:r>
      <w:proofErr w:type="spellStart"/>
      <w:r>
        <w:rPr>
          <w:rFonts w:ascii="Times New Roman" w:hAnsi="Times New Roman"/>
          <w:sz w:val="24"/>
          <w:szCs w:val="24"/>
        </w:rPr>
        <w:t>schengenske</w:t>
      </w:r>
      <w:proofErr w:type="spellEnd"/>
      <w:r>
        <w:rPr>
          <w:rFonts w:ascii="Times New Roman" w:hAnsi="Times New Roman"/>
          <w:sz w:val="24"/>
          <w:szCs w:val="24"/>
        </w:rPr>
        <w:t xml:space="preserve"> pravne stečevine i ukidanju Uredbe Vije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ća (EU) br. 1053/2013 od 7. listopada 2013. o uspostavi mehanizma evaluacije i praćenja za provjeru primjene </w:t>
      </w:r>
      <w:proofErr w:type="spellStart"/>
      <w:r>
        <w:rPr>
          <w:rFonts w:ascii="Times New Roman" w:hAnsi="Times New Roman"/>
          <w:sz w:val="24"/>
          <w:szCs w:val="24"/>
        </w:rPr>
        <w:t>schengenske</w:t>
      </w:r>
      <w:proofErr w:type="spellEnd"/>
      <w:r>
        <w:rPr>
          <w:rFonts w:ascii="Times New Roman" w:hAnsi="Times New Roman"/>
          <w:sz w:val="24"/>
          <w:szCs w:val="24"/>
        </w:rPr>
        <w:t xml:space="preserve"> pravne stečevine i stavljanju izvan snage Odluke Izvršnog odbora od 16. rujna 1998. o uspostavi Stalnog odbora za ocjenu i provedbu Schengena.</w:t>
      </w:r>
    </w:p>
    <w:p w:rsidR="00430328" w:rsidRDefault="001114CC" w:rsidP="00430328">
      <w:pPr>
        <w:pStyle w:val="Tijelo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Prijedlogom s</w:t>
      </w:r>
      <w:r w:rsidR="00430328">
        <w:rPr>
          <w:rFonts w:ascii="Times New Roman" w:hAnsi="Times New Roman"/>
          <w:sz w:val="24"/>
          <w:szCs w:val="24"/>
        </w:rPr>
        <w:t xml:space="preserve">trategije Europska komisija odgovara na </w:t>
      </w:r>
      <w:r w:rsidR="00D74F9C">
        <w:rPr>
          <w:rFonts w:ascii="Times New Roman" w:hAnsi="Times New Roman"/>
          <w:sz w:val="24"/>
          <w:szCs w:val="24"/>
        </w:rPr>
        <w:t xml:space="preserve">izazove s kojima je </w:t>
      </w:r>
      <w:proofErr w:type="spellStart"/>
      <w:r w:rsidR="00D74F9C">
        <w:rPr>
          <w:rFonts w:ascii="Times New Roman" w:hAnsi="Times New Roman"/>
          <w:sz w:val="24"/>
          <w:szCs w:val="24"/>
        </w:rPr>
        <w:t>S</w:t>
      </w:r>
      <w:r w:rsidR="00430328">
        <w:rPr>
          <w:rFonts w:ascii="Times New Roman" w:hAnsi="Times New Roman"/>
          <w:sz w:val="24"/>
          <w:szCs w:val="24"/>
        </w:rPr>
        <w:t>chengensko</w:t>
      </w:r>
      <w:proofErr w:type="spellEnd"/>
      <w:r w:rsidR="00430328">
        <w:rPr>
          <w:rFonts w:ascii="Times New Roman" w:hAnsi="Times New Roman"/>
          <w:sz w:val="24"/>
          <w:szCs w:val="24"/>
        </w:rPr>
        <w:t xml:space="preserve"> područje trenutno suočeno, a s krajnjim ciljem kreiranja Schengena otpornijeg n</w:t>
      </w:r>
      <w:r>
        <w:rPr>
          <w:rFonts w:ascii="Times New Roman" w:hAnsi="Times New Roman"/>
          <w:sz w:val="24"/>
          <w:szCs w:val="24"/>
        </w:rPr>
        <w:t>a buduće izazove. U tom smislu P</w:t>
      </w:r>
      <w:r w:rsidR="00430328">
        <w:rPr>
          <w:rFonts w:ascii="Times New Roman" w:hAnsi="Times New Roman"/>
          <w:sz w:val="24"/>
          <w:szCs w:val="24"/>
        </w:rPr>
        <w:t xml:space="preserve">rijedlog </w:t>
      </w:r>
      <w:r>
        <w:rPr>
          <w:rFonts w:ascii="Times New Roman" w:hAnsi="Times New Roman"/>
          <w:sz w:val="24"/>
          <w:szCs w:val="24"/>
        </w:rPr>
        <w:t>s</w:t>
      </w:r>
      <w:r w:rsidR="00430328">
        <w:rPr>
          <w:rFonts w:ascii="Times New Roman" w:hAnsi="Times New Roman"/>
          <w:sz w:val="24"/>
          <w:szCs w:val="24"/>
        </w:rPr>
        <w:t xml:space="preserve">trategije glavni naglasak stavlja na učinkovitije upravljanje vanjskom granicom što podrazumijeva uspostavu nove IT arhitekture i </w:t>
      </w:r>
      <w:proofErr w:type="spellStart"/>
      <w:r w:rsidR="00430328">
        <w:rPr>
          <w:rFonts w:ascii="Times New Roman" w:hAnsi="Times New Roman"/>
          <w:sz w:val="24"/>
          <w:szCs w:val="24"/>
        </w:rPr>
        <w:t>inter</w:t>
      </w:r>
      <w:r>
        <w:rPr>
          <w:rFonts w:ascii="Times New Roman" w:hAnsi="Times New Roman"/>
          <w:sz w:val="24"/>
          <w:szCs w:val="24"/>
        </w:rPr>
        <w:t>operabilnost</w:t>
      </w:r>
      <w:proofErr w:type="spellEnd"/>
      <w:r>
        <w:rPr>
          <w:rFonts w:ascii="Times New Roman" w:hAnsi="Times New Roman"/>
          <w:sz w:val="24"/>
          <w:szCs w:val="24"/>
        </w:rPr>
        <w:t xml:space="preserve"> postojećih i novih</w:t>
      </w:r>
      <w:r w:rsidR="00430328">
        <w:rPr>
          <w:rFonts w:ascii="Times New Roman" w:hAnsi="Times New Roman"/>
          <w:sz w:val="24"/>
          <w:szCs w:val="24"/>
        </w:rPr>
        <w:t xml:space="preserve"> informacijskih sustava, jačanje policijske suradnje, bolje upravljanje m</w:t>
      </w:r>
      <w:r>
        <w:rPr>
          <w:rFonts w:ascii="Times New Roman" w:hAnsi="Times New Roman"/>
          <w:sz w:val="24"/>
          <w:szCs w:val="24"/>
        </w:rPr>
        <w:t>igracijskim tokov</w:t>
      </w:r>
      <w:r w:rsidR="00D74F9C">
        <w:rPr>
          <w:rFonts w:ascii="Times New Roman" w:hAnsi="Times New Roman"/>
          <w:sz w:val="24"/>
          <w:szCs w:val="24"/>
        </w:rPr>
        <w:t xml:space="preserve">ima, pripremu </w:t>
      </w:r>
      <w:proofErr w:type="spellStart"/>
      <w:r w:rsidR="00D74F9C">
        <w:rPr>
          <w:rFonts w:ascii="Times New Roman" w:hAnsi="Times New Roman"/>
          <w:sz w:val="24"/>
          <w:szCs w:val="24"/>
        </w:rPr>
        <w:t>S</w:t>
      </w:r>
      <w:r w:rsidR="00430328">
        <w:rPr>
          <w:rFonts w:ascii="Times New Roman" w:hAnsi="Times New Roman"/>
          <w:sz w:val="24"/>
          <w:szCs w:val="24"/>
        </w:rPr>
        <w:t>chengenskog</w:t>
      </w:r>
      <w:proofErr w:type="spellEnd"/>
      <w:r w:rsidR="00430328">
        <w:rPr>
          <w:rFonts w:ascii="Times New Roman" w:hAnsi="Times New Roman"/>
          <w:sz w:val="24"/>
          <w:szCs w:val="24"/>
        </w:rPr>
        <w:t xml:space="preserve"> područja za buduće izazove, uključujući one sigurnosne, dosljednija provedba </w:t>
      </w:r>
      <w:proofErr w:type="spellStart"/>
      <w:r w:rsidR="00430328">
        <w:rPr>
          <w:rFonts w:ascii="Times New Roman" w:hAnsi="Times New Roman"/>
          <w:sz w:val="24"/>
          <w:szCs w:val="24"/>
        </w:rPr>
        <w:t>schengenske</w:t>
      </w:r>
      <w:proofErr w:type="spellEnd"/>
      <w:r w:rsidR="00430328">
        <w:rPr>
          <w:rFonts w:ascii="Times New Roman" w:hAnsi="Times New Roman"/>
          <w:sz w:val="24"/>
          <w:szCs w:val="24"/>
        </w:rPr>
        <w:t xml:space="preserve"> pravne stečevine, primjena iskustva iz upravljanja </w:t>
      </w:r>
      <w:proofErr w:type="spellStart"/>
      <w:r w:rsidR="00430328">
        <w:rPr>
          <w:rFonts w:ascii="Times New Roman" w:hAnsi="Times New Roman"/>
          <w:sz w:val="24"/>
          <w:szCs w:val="24"/>
        </w:rPr>
        <w:t>pandemijom</w:t>
      </w:r>
      <w:proofErr w:type="spellEnd"/>
      <w:r w:rsidR="00430328">
        <w:rPr>
          <w:rFonts w:ascii="Times New Roman" w:hAnsi="Times New Roman"/>
          <w:sz w:val="24"/>
          <w:szCs w:val="24"/>
        </w:rPr>
        <w:t xml:space="preserve"> COVID-19, jačanje povjerenja kao jedne od temeljnih pretpostavki za povratak normalnom funkcionir</w:t>
      </w:r>
      <w:r w:rsidR="00D74F9C">
        <w:rPr>
          <w:rFonts w:ascii="Times New Roman" w:hAnsi="Times New Roman"/>
          <w:sz w:val="24"/>
          <w:szCs w:val="24"/>
        </w:rPr>
        <w:t xml:space="preserve">anju Schengena i kompletiranje </w:t>
      </w:r>
      <w:proofErr w:type="spellStart"/>
      <w:r w:rsidR="00D74F9C">
        <w:rPr>
          <w:rFonts w:ascii="Times New Roman" w:hAnsi="Times New Roman"/>
          <w:sz w:val="24"/>
          <w:szCs w:val="24"/>
        </w:rPr>
        <w:t>S</w:t>
      </w:r>
      <w:r w:rsidR="00430328">
        <w:rPr>
          <w:rFonts w:ascii="Times New Roman" w:hAnsi="Times New Roman"/>
          <w:sz w:val="24"/>
          <w:szCs w:val="24"/>
        </w:rPr>
        <w:t>chengenskog</w:t>
      </w:r>
      <w:proofErr w:type="spellEnd"/>
      <w:r w:rsidR="00430328">
        <w:rPr>
          <w:rFonts w:ascii="Times New Roman" w:hAnsi="Times New Roman"/>
          <w:sz w:val="24"/>
          <w:szCs w:val="24"/>
        </w:rPr>
        <w:t xml:space="preserve"> područja.</w:t>
      </w:r>
    </w:p>
    <w:p w:rsidR="00430328" w:rsidRDefault="001114CC" w:rsidP="00430328">
      <w:pPr>
        <w:pStyle w:val="Tijelo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Europska komisija P</w:t>
      </w:r>
      <w:r w:rsidR="00430328">
        <w:rPr>
          <w:rFonts w:ascii="Times New Roman" w:hAnsi="Times New Roman"/>
          <w:sz w:val="24"/>
          <w:szCs w:val="24"/>
        </w:rPr>
        <w:t>rijedlo</w:t>
      </w:r>
      <w:r>
        <w:rPr>
          <w:rFonts w:ascii="Times New Roman" w:hAnsi="Times New Roman"/>
          <w:sz w:val="24"/>
          <w:szCs w:val="24"/>
        </w:rPr>
        <w:t>gom s</w:t>
      </w:r>
      <w:r w:rsidR="00430328">
        <w:rPr>
          <w:rFonts w:ascii="Times New Roman" w:hAnsi="Times New Roman"/>
          <w:sz w:val="24"/>
          <w:szCs w:val="24"/>
        </w:rPr>
        <w:t>trategije pos</w:t>
      </w:r>
      <w:r w:rsidR="00D74F9C">
        <w:rPr>
          <w:rFonts w:ascii="Times New Roman" w:hAnsi="Times New Roman"/>
          <w:sz w:val="24"/>
          <w:szCs w:val="24"/>
        </w:rPr>
        <w:t xml:space="preserve">ebno ističe važnost proširenja </w:t>
      </w:r>
      <w:proofErr w:type="spellStart"/>
      <w:r w:rsidR="00D74F9C">
        <w:rPr>
          <w:rFonts w:ascii="Times New Roman" w:hAnsi="Times New Roman"/>
          <w:sz w:val="24"/>
          <w:szCs w:val="24"/>
        </w:rPr>
        <w:t>S</w:t>
      </w:r>
      <w:r w:rsidR="00430328">
        <w:rPr>
          <w:rFonts w:ascii="Times New Roman" w:hAnsi="Times New Roman"/>
          <w:sz w:val="24"/>
          <w:szCs w:val="24"/>
        </w:rPr>
        <w:t>chengenskog</w:t>
      </w:r>
      <w:proofErr w:type="spellEnd"/>
      <w:r w:rsidR="00430328">
        <w:rPr>
          <w:rFonts w:ascii="Times New Roman" w:hAnsi="Times New Roman"/>
          <w:sz w:val="24"/>
          <w:szCs w:val="24"/>
        </w:rPr>
        <w:t xml:space="preserve"> područja kao doprinosa jačanju povjerenja, otpornosti Schengena i dokidanju njegove </w:t>
      </w:r>
      <w:proofErr w:type="spellStart"/>
      <w:r w:rsidR="00430328">
        <w:rPr>
          <w:rFonts w:ascii="Times New Roman" w:hAnsi="Times New Roman"/>
          <w:sz w:val="24"/>
          <w:szCs w:val="24"/>
        </w:rPr>
        <w:t>fragmentiranosti</w:t>
      </w:r>
      <w:proofErr w:type="spellEnd"/>
      <w:r w:rsidR="00430328">
        <w:rPr>
          <w:rFonts w:ascii="Times New Roman" w:hAnsi="Times New Roman"/>
          <w:sz w:val="24"/>
          <w:szCs w:val="24"/>
        </w:rPr>
        <w:t xml:space="preserve">. U tom smislu Prijedlog </w:t>
      </w:r>
      <w:r>
        <w:rPr>
          <w:rFonts w:ascii="Times New Roman" w:hAnsi="Times New Roman"/>
          <w:sz w:val="24"/>
          <w:szCs w:val="24"/>
        </w:rPr>
        <w:t>s</w:t>
      </w:r>
      <w:r w:rsidR="00430328">
        <w:rPr>
          <w:rFonts w:ascii="Times New Roman" w:hAnsi="Times New Roman"/>
          <w:sz w:val="24"/>
          <w:szCs w:val="24"/>
        </w:rPr>
        <w:t xml:space="preserve">trategije ističe kako je Komisija 22. listopada 2019. godine usvojila Komunikaciju o procjeni pune primjene </w:t>
      </w:r>
      <w:proofErr w:type="spellStart"/>
      <w:r w:rsidR="00430328">
        <w:rPr>
          <w:rFonts w:ascii="Times New Roman" w:hAnsi="Times New Roman"/>
          <w:sz w:val="24"/>
          <w:szCs w:val="24"/>
        </w:rPr>
        <w:t>schengenske</w:t>
      </w:r>
      <w:proofErr w:type="spellEnd"/>
      <w:r w:rsidR="00430328">
        <w:rPr>
          <w:rFonts w:ascii="Times New Roman" w:hAnsi="Times New Roman"/>
          <w:sz w:val="24"/>
          <w:szCs w:val="24"/>
        </w:rPr>
        <w:t xml:space="preserve"> pravne stečevine u Hrvatskoj kojom je potvrdila da je Republika Hrvatska poduzela sve potrebne mjere kako bi osigurala ispunjavanje svih potrebnih uvjeta za primjenu </w:t>
      </w:r>
      <w:proofErr w:type="spellStart"/>
      <w:r w:rsidR="00430328">
        <w:rPr>
          <w:rFonts w:ascii="Times New Roman" w:hAnsi="Times New Roman"/>
          <w:sz w:val="24"/>
          <w:szCs w:val="24"/>
        </w:rPr>
        <w:t>schengenske</w:t>
      </w:r>
      <w:proofErr w:type="spellEnd"/>
      <w:r w:rsidR="00430328">
        <w:rPr>
          <w:rFonts w:ascii="Times New Roman" w:hAnsi="Times New Roman"/>
          <w:sz w:val="24"/>
          <w:szCs w:val="24"/>
        </w:rPr>
        <w:t xml:space="preserve"> pravne stečevine što je još jednom potvrđeno nakon ciljanog posjeta vanjskoj granici Hrvatske u stude</w:t>
      </w:r>
      <w:r>
        <w:rPr>
          <w:rFonts w:ascii="Times New Roman" w:hAnsi="Times New Roman"/>
          <w:sz w:val="24"/>
          <w:szCs w:val="24"/>
        </w:rPr>
        <w:t>nom 2020. godine. U Prijedlogu s</w:t>
      </w:r>
      <w:r w:rsidR="00430328">
        <w:rPr>
          <w:rFonts w:ascii="Times New Roman" w:hAnsi="Times New Roman"/>
          <w:sz w:val="24"/>
          <w:szCs w:val="24"/>
        </w:rPr>
        <w:t xml:space="preserve">trategije ističe se kako je krajnje vrijeme da Vijeće EU-a poduzme potrebne korake kako bi uvažilo pozitivan ishod evaluacije te donijelo odluku o ukidanju kontrola na unutarnjim granicama s obzirom da bez te odluke - unatoč tome što osigurava punu primjenu relevantne pravne stečevine - Republika Hrvatska ne </w:t>
      </w:r>
      <w:r w:rsidR="00D74F9C">
        <w:rPr>
          <w:rFonts w:ascii="Times New Roman" w:hAnsi="Times New Roman"/>
          <w:sz w:val="24"/>
          <w:szCs w:val="24"/>
        </w:rPr>
        <w:t xml:space="preserve">uživa sve prednosti članstva u </w:t>
      </w:r>
      <w:proofErr w:type="spellStart"/>
      <w:r w:rsidR="00D74F9C">
        <w:rPr>
          <w:rFonts w:ascii="Times New Roman" w:hAnsi="Times New Roman"/>
          <w:sz w:val="24"/>
          <w:szCs w:val="24"/>
        </w:rPr>
        <w:t>S</w:t>
      </w:r>
      <w:r w:rsidR="00430328">
        <w:rPr>
          <w:rFonts w:ascii="Times New Roman" w:hAnsi="Times New Roman"/>
          <w:sz w:val="24"/>
          <w:szCs w:val="24"/>
        </w:rPr>
        <w:t>chengenskom</w:t>
      </w:r>
      <w:proofErr w:type="spellEnd"/>
      <w:r w:rsidR="00430328">
        <w:rPr>
          <w:rFonts w:ascii="Times New Roman" w:hAnsi="Times New Roman"/>
          <w:sz w:val="24"/>
          <w:szCs w:val="24"/>
        </w:rPr>
        <w:t xml:space="preserve"> području. Osim što se radi o legitimnom očekivanju,</w:t>
      </w:r>
      <w:r>
        <w:rPr>
          <w:rFonts w:ascii="Times New Roman" w:hAnsi="Times New Roman"/>
          <w:sz w:val="24"/>
          <w:szCs w:val="24"/>
        </w:rPr>
        <w:t xml:space="preserve"> u Prijedlogu s</w:t>
      </w:r>
      <w:r w:rsidR="00430328">
        <w:rPr>
          <w:rFonts w:ascii="Times New Roman" w:hAnsi="Times New Roman"/>
          <w:sz w:val="24"/>
          <w:szCs w:val="24"/>
        </w:rPr>
        <w:t>trategije jasn</w:t>
      </w:r>
      <w:r>
        <w:rPr>
          <w:rFonts w:ascii="Times New Roman" w:hAnsi="Times New Roman"/>
          <w:sz w:val="24"/>
          <w:szCs w:val="24"/>
        </w:rPr>
        <w:t>o se ističe kako je č</w:t>
      </w:r>
      <w:r w:rsidR="00D74F9C">
        <w:rPr>
          <w:rFonts w:ascii="Times New Roman" w:hAnsi="Times New Roman"/>
          <w:sz w:val="24"/>
          <w:szCs w:val="24"/>
        </w:rPr>
        <w:t xml:space="preserve">lanstvo u Republike Hrvatske u </w:t>
      </w:r>
      <w:proofErr w:type="spellStart"/>
      <w:r w:rsidR="00D74F9C">
        <w:rPr>
          <w:rFonts w:ascii="Times New Roman" w:hAnsi="Times New Roman"/>
          <w:sz w:val="24"/>
          <w:szCs w:val="24"/>
        </w:rPr>
        <w:t>S</w:t>
      </w:r>
      <w:r w:rsidR="00430328">
        <w:rPr>
          <w:rFonts w:ascii="Times New Roman" w:hAnsi="Times New Roman"/>
          <w:sz w:val="24"/>
          <w:szCs w:val="24"/>
        </w:rPr>
        <w:t>chengenskom</w:t>
      </w:r>
      <w:proofErr w:type="spellEnd"/>
      <w:r w:rsidR="00430328">
        <w:rPr>
          <w:rFonts w:ascii="Times New Roman" w:hAnsi="Times New Roman"/>
          <w:sz w:val="24"/>
          <w:szCs w:val="24"/>
        </w:rPr>
        <w:t xml:space="preserve"> području doprinos sigurnosti Europske unije jer će imati pristup </w:t>
      </w:r>
      <w:proofErr w:type="spellStart"/>
      <w:r w:rsidR="00D74F9C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iznom</w:t>
      </w:r>
      <w:proofErr w:type="spellEnd"/>
      <w:r>
        <w:rPr>
          <w:rFonts w:ascii="Times New Roman" w:hAnsi="Times New Roman"/>
          <w:sz w:val="24"/>
          <w:szCs w:val="24"/>
        </w:rPr>
        <w:t xml:space="preserve"> informacijskom sustavu </w:t>
      </w:r>
      <w:r w:rsidRPr="001114CC">
        <w:rPr>
          <w:rFonts w:ascii="Times New Roman" w:hAnsi="Times New Roman"/>
          <w:sz w:val="24"/>
          <w:szCs w:val="24"/>
        </w:rPr>
        <w:t>(</w:t>
      </w:r>
      <w:r w:rsidR="00430328" w:rsidRPr="001114CC">
        <w:rPr>
          <w:rFonts w:ascii="Times New Roman" w:hAnsi="Times New Roman"/>
          <w:sz w:val="24"/>
          <w:szCs w:val="24"/>
        </w:rPr>
        <w:t>VIS</w:t>
      </w:r>
      <w:r w:rsidRPr="001114CC">
        <w:rPr>
          <w:rFonts w:ascii="Times New Roman" w:hAnsi="Times New Roman"/>
          <w:sz w:val="24"/>
          <w:szCs w:val="24"/>
        </w:rPr>
        <w:t>)</w:t>
      </w:r>
      <w:r w:rsidR="00430328" w:rsidRPr="001114CC">
        <w:rPr>
          <w:rFonts w:ascii="Times New Roman" w:hAnsi="Times New Roman"/>
          <w:sz w:val="24"/>
          <w:szCs w:val="24"/>
        </w:rPr>
        <w:t xml:space="preserve"> i</w:t>
      </w:r>
      <w:r w:rsidR="004303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0328">
        <w:rPr>
          <w:rFonts w:ascii="Times New Roman" w:hAnsi="Times New Roman"/>
          <w:sz w:val="24"/>
          <w:szCs w:val="24"/>
        </w:rPr>
        <w:t>interoperabilnosti</w:t>
      </w:r>
      <w:proofErr w:type="spellEnd"/>
      <w:r w:rsidR="00430328">
        <w:rPr>
          <w:rFonts w:ascii="Times New Roman" w:hAnsi="Times New Roman"/>
          <w:sz w:val="24"/>
          <w:szCs w:val="24"/>
        </w:rPr>
        <w:t xml:space="preserve"> svih informacijskih sustava. U tom smislu se proširenje Schengena smatra ključnim i za jačanj</w:t>
      </w:r>
      <w:r w:rsidR="00D74F9C">
        <w:rPr>
          <w:rFonts w:ascii="Times New Roman" w:hAnsi="Times New Roman"/>
          <w:sz w:val="24"/>
          <w:szCs w:val="24"/>
        </w:rPr>
        <w:t xml:space="preserve">e međusobnog povjerenja unutar </w:t>
      </w:r>
      <w:proofErr w:type="spellStart"/>
      <w:r w:rsidR="00D74F9C">
        <w:rPr>
          <w:rFonts w:ascii="Times New Roman" w:hAnsi="Times New Roman"/>
          <w:sz w:val="24"/>
          <w:szCs w:val="24"/>
        </w:rPr>
        <w:t>S</w:t>
      </w:r>
      <w:r w:rsidR="00430328">
        <w:rPr>
          <w:rFonts w:ascii="Times New Roman" w:hAnsi="Times New Roman"/>
          <w:sz w:val="24"/>
          <w:szCs w:val="24"/>
        </w:rPr>
        <w:t>chengenskog</w:t>
      </w:r>
      <w:proofErr w:type="spellEnd"/>
      <w:r w:rsidR="00430328">
        <w:rPr>
          <w:rFonts w:ascii="Times New Roman" w:hAnsi="Times New Roman"/>
          <w:sz w:val="24"/>
          <w:szCs w:val="24"/>
        </w:rPr>
        <w:t xml:space="preserve"> područja.  </w:t>
      </w:r>
    </w:p>
    <w:p w:rsidR="00430328" w:rsidRDefault="00430328" w:rsidP="00430328">
      <w:pPr>
        <w:pStyle w:val="Tijelo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Republika Hrvatska pozdravlja Prijedlog </w:t>
      </w:r>
      <w:r w:rsidR="001114C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trategije, važn</w:t>
      </w:r>
      <w:r w:rsidR="00BD2650">
        <w:rPr>
          <w:rFonts w:ascii="Times New Roman" w:hAnsi="Times New Roman"/>
          <w:sz w:val="24"/>
          <w:szCs w:val="24"/>
        </w:rPr>
        <w:t xml:space="preserve">ost koju stavlja na proširenje </w:t>
      </w:r>
      <w:proofErr w:type="spellStart"/>
      <w:r w:rsidR="00BD265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chengenskog</w:t>
      </w:r>
      <w:proofErr w:type="spellEnd"/>
      <w:r>
        <w:rPr>
          <w:rFonts w:ascii="Times New Roman" w:hAnsi="Times New Roman"/>
          <w:sz w:val="24"/>
          <w:szCs w:val="24"/>
        </w:rPr>
        <w:t xml:space="preserve"> prostora i poziv upućen Europskom parlamentu i Vijeću za donošenjem odluke o</w:t>
      </w:r>
      <w:r w:rsidR="001114CC">
        <w:rPr>
          <w:rFonts w:ascii="Times New Roman" w:hAnsi="Times New Roman"/>
          <w:sz w:val="24"/>
          <w:szCs w:val="24"/>
        </w:rPr>
        <w:t xml:space="preserve"> članstvu Republike Hrvatske u </w:t>
      </w:r>
      <w:proofErr w:type="spellStart"/>
      <w:r w:rsidR="00D74F9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chengenskom</w:t>
      </w:r>
      <w:proofErr w:type="spellEnd"/>
      <w:r>
        <w:rPr>
          <w:rFonts w:ascii="Times New Roman" w:hAnsi="Times New Roman"/>
          <w:sz w:val="24"/>
          <w:szCs w:val="24"/>
        </w:rPr>
        <w:t xml:space="preserve"> području. Republika Hrvatska bit će konstruktivni p</w:t>
      </w:r>
      <w:r w:rsidR="001114CC">
        <w:rPr>
          <w:rFonts w:ascii="Times New Roman" w:hAnsi="Times New Roman"/>
          <w:sz w:val="24"/>
          <w:szCs w:val="24"/>
        </w:rPr>
        <w:t>artner u raspravi o Prijedlogu s</w:t>
      </w:r>
      <w:r>
        <w:rPr>
          <w:rFonts w:ascii="Times New Roman" w:hAnsi="Times New Roman"/>
          <w:sz w:val="24"/>
          <w:szCs w:val="24"/>
        </w:rPr>
        <w:t xml:space="preserve">trategije koja će se voditi na političkoj i stručnoj razini kako bi se što prije usvojila. </w:t>
      </w:r>
    </w:p>
    <w:sectPr w:rsidR="00430328" w:rsidSect="00F1584D">
      <w:headerReference w:type="default" r:id="rId12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1DC" w:rsidRDefault="003551DC">
      <w:pPr>
        <w:spacing w:after="0" w:line="240" w:lineRule="auto"/>
      </w:pPr>
      <w:r>
        <w:separator/>
      </w:r>
    </w:p>
  </w:endnote>
  <w:endnote w:type="continuationSeparator" w:id="0">
    <w:p w:rsidR="003551DC" w:rsidRDefault="0035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1DC" w:rsidRDefault="003551DC">
      <w:pPr>
        <w:spacing w:after="0" w:line="240" w:lineRule="auto"/>
      </w:pPr>
      <w:r>
        <w:separator/>
      </w:r>
    </w:p>
  </w:footnote>
  <w:footnote w:type="continuationSeparator" w:id="0">
    <w:p w:rsidR="003551DC" w:rsidRDefault="0035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B0" w:rsidRDefault="003551DC" w:rsidP="004243B0">
    <w:pPr>
      <w:pStyle w:val="Header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D4E3A"/>
    <w:multiLevelType w:val="hybridMultilevel"/>
    <w:tmpl w:val="AA1A3414"/>
    <w:lvl w:ilvl="0" w:tplc="6D56E482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F0F81C3C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8BF0050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B64E54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A904220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89C1716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88E366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6CE51F6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C7C0BC3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A416A77"/>
    <w:multiLevelType w:val="hybridMultilevel"/>
    <w:tmpl w:val="0D2CCAB2"/>
    <w:lvl w:ilvl="0" w:tplc="C5D291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52415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7AC3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83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E82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141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4ED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CDE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A462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0159"/>
    <w:rsid w:val="001114CC"/>
    <w:rsid w:val="00146B28"/>
    <w:rsid w:val="00230159"/>
    <w:rsid w:val="003551DC"/>
    <w:rsid w:val="00430328"/>
    <w:rsid w:val="00537FC8"/>
    <w:rsid w:val="00591AC5"/>
    <w:rsid w:val="00716A5F"/>
    <w:rsid w:val="007910DB"/>
    <w:rsid w:val="007B178B"/>
    <w:rsid w:val="00874426"/>
    <w:rsid w:val="009D1958"/>
    <w:rsid w:val="00A42F8D"/>
    <w:rsid w:val="00A55593"/>
    <w:rsid w:val="00BD215D"/>
    <w:rsid w:val="00BD2650"/>
    <w:rsid w:val="00C30B1C"/>
    <w:rsid w:val="00D64AE9"/>
    <w:rsid w:val="00D74F9C"/>
    <w:rsid w:val="00E3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56AC"/>
  <w15:docId w15:val="{6DFBCEE2-4626-4526-8EB4-08C5816F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TableGrid">
    <w:name w:val="Table Grid"/>
    <w:basedOn w:val="TableNormal"/>
    <w:uiPriority w:val="3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257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2577"/>
    <w:rPr>
      <w:sz w:val="22"/>
      <w:szCs w:val="22"/>
      <w:lang w:eastAsia="en-US"/>
    </w:rPr>
  </w:style>
  <w:style w:type="paragraph" w:customStyle="1" w:styleId="Tijelo">
    <w:name w:val="Tijelo"/>
    <w:rsid w:val="00C30B1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D2545CDDB34419C91C474638C41C1" ma:contentTypeVersion="1" ma:contentTypeDescription="Create a new document." ma:contentTypeScope="" ma:versionID="d7f10caa6fdbd82d5396a3e6bf39d6d5">
  <xsd:schema xmlns:xsd="http://www.w3.org/2001/XMLSchema" xmlns:xs="http://www.w3.org/2001/XMLSchema" xmlns:p="http://schemas.microsoft.com/office/2006/metadata/properties" xmlns:ns2="6613cc39-21af-4784-841c-6826e3cab4a1" targetNamespace="http://schemas.microsoft.com/office/2006/metadata/properties" ma:root="true" ma:fieldsID="5113560c700090e8ba0bc4b34dd71122" ns2:_="">
    <xsd:import namespace="6613cc39-21af-4784-841c-6826e3cab4a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3cc39-21af-4784-841c-6826e3cab4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04872-12F1-4D7F-B514-CB2F05DF4D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4E1BC-910C-4FBA-AA3D-9FC6A94ED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3cc39-21af-4784-841c-6826e3cab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7A7D9-4303-4CBA-AAC1-301A71435A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47A917-7431-4345-BB6F-CC9300E2AD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88DE6D-BCA7-4E5A-A402-C58852A6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Loborec</dc:creator>
  <cp:lastModifiedBy>Ivana Marinković</cp:lastModifiedBy>
  <cp:revision>21</cp:revision>
  <dcterms:created xsi:type="dcterms:W3CDTF">2017-02-10T09:14:00Z</dcterms:created>
  <dcterms:modified xsi:type="dcterms:W3CDTF">2021-06-09T08:10:00Z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0x01010086CD2545CDDB34419C91C474638C41C1</vt:lpwstr>
  </property>
</Properties>
</file>